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2007/19 vom 6. Juli 2007</w:t>
      </w:r>
    </w:p>
    <w:p>
      <w:r>
        <w:t>Bundesverwaltungsgericht, 2007-07-06, DE</w:t>
      </w:r>
    </w:p>
    <w:p>
      <w:r>
        <w:rPr>
          <w:b/>
        </w:rPr>
        <w:t xml:space="preserve">Quelle: </w:t>
      </w:r>
      <w:r>
        <w:t>https://mcp.opencaselaw.ch/entscheid/bvger_BVGE 2007_19</w:t>
      </w:r>
    </w:p>
    <w:p>
      <w:r>
        <w:t>FR: TAF BVGE 2007/19 du 6 juillet 2007</w:t>
      </w:r>
    </w:p>
    <w:p>
      <w:r>
        <w:t>IT: TAF BVGE 2007/19 del 6 luglio 2007</w:t>
      </w:r>
    </w:p>
    <w:p>
      <w:pPr>
        <w:pStyle w:val="Heading2"/>
      </w:pPr>
      <w:r>
        <w:t>Regeste</w:t>
      </w:r>
    </w:p>
    <w:p>
      <w:r>
        <w:t>Familienzusammenführung (Asyl)","Asylgesuch aus dem Ausland und Einreisebewilligung</w:t>
      </w:r>
    </w:p>
    <w:p>
      <w:pPr>
        <w:pStyle w:val="Heading2"/>
      </w:pPr>
      <w:r>
        <w:t>Erwägungen</w:t>
      </w:r>
    </w:p>
    <w:p>
      <w:r>
        <w:rPr>
          <w:b/>
        </w:rPr>
        <w:t>E. 3</w:t>
      </w:r>
    </w:p>
    <w:p>
      <w:r>
        <w:t>Weiter stellt sich die Frage, ob es sich beim Gesuch vom 20. Oktober 2006, mit welchem hauptsächlich die Bewilligung der Einreise des Beschwerdeführers in die Schweiz beantragt wurde, um ein Gesuch um Familiennachzug und Einbezug in die vorläufige Aufnahme der Beschwerdeführerin handelt, auf das in erster Linie die neuen, am 1. Januar 2007 in Kraft getretenen Bestimmungen von Art. 14c Abs. 3bis ANAG Anwendung finden würden, oder aber um ein Asylgesuch aus dem Ausland, das primär nach Art. 20 Abs. 2 und 3 i. V. m. Art. 3 sowie Art. 52 Abs. 2 AsylG zu beurteilen wäre.</w:t>
      </w:r>
    </w:p>
    <w:p>
      <w:r>
        <w:rPr>
          <w:b/>
        </w:rPr>
        <w:t>E. 3.1</w:t>
      </w:r>
    </w:p>
    <w:p>
      <w:r>
        <w:t>Gemäss Art. 14c Abs. 3bis ANAG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w:t>
      </w:r>
    </w:p>
    <w:p>
      <w:r>
        <w:rPr>
          <w:b/>
        </w:rPr>
        <w:t>E. 3.2</w:t>
      </w:r>
    </w:p>
    <w:p>
      <w:r>
        <w:t>Nach Art. 20 Abs. 2 und 3 AsylG ist die Einreise in die Schweiz zu bewilligen, wenn eine unmittelbare Gefahr für Leib, Leben oder Freiheit aus einem Grund nach Art. 3 Abs. 1 AsylG glaubhaft gemacht wird, das heisst im Hinblick auf die Anerkennung als Flüchtling und Asylgewährung, oder aber wenn für die Dauer einer näheren Abklärung des Sachverhalts ein weiterer Aufenthalt im Wohnsitz- oder Aufenthaltsstaat oder die Ausreise in einen Drittstaat nicht zumutbar erscheint.</w:t>
      </w:r>
    </w:p>
    <w:p>
      <w:r>
        <w:rPr>
          <w:b/>
        </w:rPr>
        <w:t>E. 3.3</w:t>
      </w:r>
    </w:p>
    <w:p>
      <w:r>
        <w:t>Das Prinzip von Treu und Glauben, das gemäss Art. 5 Abs. 3 der Bundesverfassung der Schweizerischen Eidgenossenschaft vom 18. April 1999 (BV, SR 101) als allgemeiner Grundsatz rechtsstaatlichen Handelns gilt und dem darüber hinaus nach Art. 9 BV Grundrechtscharakter zukommt, gebietet ein loyales und vertrauenswürdiges Verhalten im Rechtsverkehr (vgl. Andreas Auer/Giorgio Malinverni/Michel Hottelier, Droit constitutionnel suisse, Bd. II, 2. Aufl., Bern 2006, N 1159 ff.; Yvo Hangartner, in: Ehrenzeller/Mastronardi/Schweizer/Vallender [Hrsg.], Die schweizerische Bundesverfassung, Kommentar, Zürich u.a. 2002, N 39 zu Art. 5 BV; Ulrich Häfelin/Georg Müller/Felix Uhlmann, Allgemeines Verwaltungsrecht, 5. Aufl., Zürich 2006, N 622; Elisabeth Chiariello, Treu und Glauben als Grundrecht nach Art. 9 der schweizerischen Bundesverfassung, Bern 2004, S. 224 ff.; René Rhinow, Grundzüge des Schweizerischen Verfassungsrechts, Basel u.a. 2003, N 1788 ff. und 2397 ff.). In Konkretisierung dieses allgemeinen Verhaltensgebots sind schriftliche Eingaben von Privaten an die Behörden so auszulegen, wie sie nach Treu und Glauben verstanden werden durften und mussten (vgl. BGE 126 II 97 E. 4b S. 104 f. mit weiteren Hinweisen; Rhinow, a.a.O., N 2399; Pierre Moor, Droit administratif, Bd. I, 2. Aufl., Bern 1994, S. 435 f.). Auch wenn es daher für die Auslegung eines Gesuchs nicht allein auf dessen Bezeichnung ankommen kann, so bildet diese doch immerhin ein Interpretationselement unter anderen, das es zu würdigen gilt. Entsprechendes lässt sich zur allfälligen Erwähnung von Gesetzesbestimmungen in einem Gesuch sagen, woran mit Blick auf dessen Auslegung auch der Grundsatz der Rechtsanwendung von Amtes wegen (Art. 62 Abs. 4 des Bundesgesetzes vom 20. Dezember 1968 über das Verwaltungsverfahren [VwVG, SR 172.021] i. V. m. Art. 37 des Verwaltungsgerichtsgesetzes vom 17. Juni 2005 [VGG, SR 173.32]) nichts ändert. Im vorliegenden Zusammenhang ist überdies zu beachten, dass Art. 24 Abs. 3 der Verordnung vom 11. August 1999 über den Vollzug der Weg- und Ausweisung von ausländischen Personen (VVWA, SR 142.281, Fassung gemäss Ziff. I 2 der Verordnung vom 8. November 2006 über die Änderung von Verordnungen im Zusammenhang mit der teilweisen Inkraftsetzung der Änderung vom 16. Dezember 2005 des Asylgesetzes sowie des Krankenversicherungs- und des AHV-Gesetzes, in Kraft seit 1. Januar 2007) mit Blick auf Gesuche um Einbezug in die vorläufige Aufnahme von Familienangehörigen und eingetragenen Partnern von vorläufig aufgenommenen Flüchtlingen im Sinne von Art. 14c Abs. 3bis ANAG ausdrücklich die sinngemässe Geltung von Art. 37 der Asylverordnung 1 vom 11. August 1999 (AsylV 1, SR 142.311) vorbehält, der besagt, dass ein Einbezug in die Flüchtlingseigenschaft eines Ehegatten, einer eingetragenen Partnerin oder eines eingetragenen Partners oder eines Elternteils nach Art. 51 Abs. 1 AsylG erst erfolgt, wenn in Anwendung von Art. 5 AsylV 1 festgestellt wurde, dass die einzubeziehende Person die Flüchtlingseigenschaft nicht selbstständig nach Art. 3 AsylG erfüllt. Art. 24 Abs. 3 VVWA trägt dem Umstand Rechnung, dass die engsten Familienangehörigen eines Flüchtlings oftmals selbst unter derselben Verfolgung gelitten haben beziehungsweise selbst der Gefahr einer Verfolgung ausgesetzt sind (so bereits die Botschaft zur Totalrevision des Asylgesetzes sowie zur Änderung des Bundesgesetzes über Aufenthalt und Niederlassung der Ausländer vom 4. Dezember 1995, BBl 1996 II 68; ähnlich Ziff. 27 der einleitenden Erwägungen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 Qualifikationsrichtlinie »]; grundlegend zu dieser sogenannten Reflexverfolgung Entscheidungen und Mitteilungen der Schweizerischen Asylrekurskommission EMARK 1994 Nr. 5). Daraus lässt sich im Sinne eines allgemeinen Grundsatzes ableiten, dass einer Prüfung eines allfälligen derivativen Anspruchs auf Anerkennung als Flüchtling stets die Prüfung der originären Flüchtlingseigenschaft, das heisst einer persönlichen Gefährdung nach Art. 3 AsylG vorzugehen hat. Mit anderen Worten wird ein Familiennachzugsgesuch eines vorläufig aufgenommenen Flüchtlings, mit dem unter anderem eine persönliche Gefährdung der sich im Ausland befindenden, nachzuziehenden Familienangehörigen geltend gemacht wird, nach Treu und Glauben gegebenenfalls auch als Asylgesuch aus dem Ausland im Sinne von Art. 20 Abs. 2 und 3 AsylG zu verstehen sein, wofür nicht allein entscheidend sein kann, ob das betreffende Gesuch bei einer schweizerischen Vertretung im Ausland oder aber unmittelbar beim BFM eingereicht wurde (vgl. für die in dieser Hinsicht weiterhin Geltung beanspruchende Praxis der ARK die Feststellungen in EMARK 1997 Nr. 15 E. 2b S. 129, die sich zwar auf Art. 13a aAsylG beziehen, jedoch auch nach geltendem Asylgesetz weiterhin massgeblich bleiben). Im Falle der Beschwerdeführer ist nicht zu übersehen, dass das Gesuch vom 20. Oktober 2006 ausdrücklich auch als « Asylgesuch (...) gemäss Art. 20 AsylG » bezeichnet worden ist. Aus der Begründung des Gesuchs, so insbesondere aus den Seiten 4 f., geht überdies klar hervor, dass die Einreisebewilligung in erster Linie unter Hinweis auf eine persönliche Gefährdung des sich zurzeit in Nepal aufhaltenden Beschwerdeführers beantragt wurde und die Ausführungen zur Frage des Familiennachzugs nur für den Fall gemacht wurden, dass das Vorliegen einer persönlichen Gefährdung des Beschwerdeführers durch die Asylbehörden verneint würde. Dies übersieht die Vorinstanz offensichtlich, wenn sie in der Vernehmlassung ausführt, im Gesuch vom 20. Oktober 2006 sei « vor allem von einem möglichen Familiennachzug die Rede » gewesen, und dabei lediglich auf dessen Seiten 5 ff. verweist. Unter besonderer Berücksichtigung von Art. 37 AsylV 1 i. V. m. Art. 24 Abs. 3 VVWA kommt das BVGer damit - wie bereits in der Zwischenverfügung vom 17. April 2007 von der Instruktionsrichterin angedeutet - zum Schluss, dass die Vorinstanz das Gesuch vom 20. Oktober 2006 - allenfalls im Anschluss an eine bei der Schweizer Vertretung zu veranlassende Befragung (vgl. Art. 10 AsylV 1) - gestützt auf Art. 20 Abs. 2 und 3 i. V. m. Art. 3 AsylG sowie gegebenenfalls Art. 52 Abs. 2 AsylG in erster Linie unter dem Gesichtswinkel einer persönlichen Gefährdung des Beschwerdeführers hätte prüfen müssen, was indessen zunächst unterblieben ist und erst im Rahmen des Schriftenwechsels nachgeholt wurde. Im Folgenden jedenfalls wird das Hauptaugenmerk auf diese Frage zu richten und nur subsidiär auf die Frage eines allfälligen Familiennachzugs nach Art. 14c Abs. 3bis ANAG einzugehen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